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宋体" w:hAnsi="宋体" w:eastAsia="仿宋_GB2312"/>
          <w:b w:val="0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30"/>
          <w:szCs w:val="30"/>
          <w:lang w:val="en-US" w:eastAsia="zh-CN"/>
        </w:rPr>
        <w:t>附件1：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湖北省高校心理健康教育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示范/达标中心建设标准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申报高校：（盖章）</w:t>
      </w:r>
    </w:p>
    <w:tbl>
      <w:tblPr>
        <w:tblStyle w:val="6"/>
        <w:tblW w:w="125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7998"/>
        <w:gridCol w:w="836"/>
        <w:gridCol w:w="122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7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自评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工作机制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1.已将心理健康教育纳入学校改革发展整体规划，人才培养体系、思想政治工作体系和督导评估指标体系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明确了心理健康教育工作牵头负责部门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44" w:leftChars="-45" w:firstLine="126" w:firstLineChars="45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有健全的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院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系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班级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宿舍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/个人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四级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预警网络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44" w:leftChars="-45" w:firstLine="126" w:firstLineChars="45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建立有通畅的心理危机干预及自杀预防快速反应机制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jc w:val="center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-1187" w:rightChars="-371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5.研究制订了大学生心理健康教育工作的意见或实施办法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ind w:left="-144" w:leftChars="-45" w:firstLine="126" w:firstLineChars="45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师资队伍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已按照师生（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本专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硕博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比不低于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1：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000配备心理健康教育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专职教师，学校心理健康教育专职教师不少于2名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.心理健康教育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专职教师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具有从事大学生心理健康教育的相关学历和专业资质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default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.心理健康教育专职教师每年接受不低于40学时的专业培训，或参加至少2次省级以上主管部门及二级以上心理专业学术团体召开的学术会议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4.对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心理健康教育兼职教师、辅导员、班主任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研究生导师，每年至少组织一次心理健康教育专题培训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5.对学生宿舍管理员等后勤服务人员开展相关常识培训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6.将心理健康教育内容纳入新进教师岗前培训课程体系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教学体系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1.将心理健康教育课程纳入学校整体教学计划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2.面向本专科生新生开设心理健康教育公共必修课，并设置2个学分、32-36个学时</w:t>
            </w:r>
            <w:bookmarkStart w:id="0" w:name="_GoBack"/>
            <w:bookmarkEnd w:id="0"/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3.面向全体学生开设心理健康选修和辅修课程，学生在校期间普遍接受心理健康课程教育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.支持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心理健康教育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教师结合实际工作开展科学研究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活动体系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8分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每年开展心理健康知识宣传月或宣传周活动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以有效方式向学生公布心理健康教育机构的地址、职能等服务信息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.院（系）普遍开展了符合大学生特点的心理健康教育活动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学生能够积极开展心理拓展与心理互助活动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</w:trPr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咨询服务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有专业人员在固定的时间开展个案心理咨询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每个工作日均有心理咨询室对学生开放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多校区的每个校区至少有1个预约接待室和1个心理咨询室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.建立健全心理咨询值班、预约、访谈、回访、案例督导、重点反馈、保密等制度，定期开展心理咨询个案的研讨与督导活动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有完整的实名登记的咨询记录档案、年度咨询工作量统计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危机干预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12分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  <w:t>每学期开展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老生</w:t>
            </w:r>
            <w:r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  <w:t>重点筛查，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及早实施精准干预。在新生入校后</w:t>
            </w:r>
            <w:r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  <w:t>一个月内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开展全覆盖的心理健康测评，注重对测评结果的科学分析和合理运用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2.辅导员、班主任定期走访学生宿舍，院（系）定期研判学生的心理状况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通过四级危机干预工作网络，能及时发现学生中存在的心理危机，并进行疏导和干预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对精神疾病特别是抑郁症疑似病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例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给予重点关注，有相应的愈后跟踪干预机制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畅通预防转介干预就医通道，及时转介、诊断、治疗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条件保障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将心理健康教育工作经费列入学校经费预算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按照每年生均（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本专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硕博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）不少于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元的标准划拨专项经费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心理健康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机构场所面积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在校生2万人以下的不少于200平方米，2-3万人的不少于300平方米，3万人以上的不少于500平方米。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3.设有心理发展辅导室、心理测评室、积极心理体验中心、团体活动室、综合素质训练室等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心理健康咨询机构的环境、布局、设施设备，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符合大学生心理健康教育工作的特点和要求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工作实效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近三年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上级单位表彰：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省（部）级及以上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表彰奖励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每次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厅局级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每次1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分。中国大学生心理咨询专业委员会每次1分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，省心理健康教育与咨询研究会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每次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分 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近三年大会典型发言：教育部会议每人次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分，中国心理学会、中国心理卫生协会相关专委会组织的全国性大会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中国大学生心理咨询专业委员会会议</w:t>
            </w:r>
            <w:r>
              <w:rPr>
                <w:rFonts w:hint="default" w:ascii="宋体" w:hAnsi="宋体"/>
                <w:color w:val="auto"/>
                <w:sz w:val="28"/>
                <w:szCs w:val="28"/>
                <w:lang w:val="en-US"/>
              </w:rPr>
              <w:t>、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省教育厅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每人次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省心理健康教育与咨询研究会每人次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近三年上级机关简报宣传：教育部每次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分，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省委省政府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每次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教育厅每次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近三年媒体正面报道：中央媒体每次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分，省级每次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近三年省</w:t>
            </w:r>
            <w:r>
              <w:rPr>
                <w:rFonts w:hint="default" w:ascii="宋体" w:hAnsi="宋体"/>
                <w:color w:val="auto"/>
                <w:sz w:val="28"/>
                <w:szCs w:val="28"/>
                <w:lang w:val="en-US"/>
              </w:rPr>
              <w:t>级以上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心理健康教育类评审或竞赛：一等奖每项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分，二等奖每项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分；三等奖每项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</w:tbl>
    <w:p>
      <w:pPr>
        <w:spacing w:line="320" w:lineRule="exact"/>
        <w:ind w:left="1274" w:leftChars="398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 xml:space="preserve">       </w:t>
      </w:r>
    </w:p>
    <w:p>
      <w:pPr>
        <w:spacing w:line="320" w:lineRule="exact"/>
        <w:ind w:left="1353" w:leftChars="390" w:hanging="105" w:hangingChars="50"/>
        <w:rPr>
          <w:rFonts w:hint="eastAsia" w:eastAsia="仿宋_GB2312"/>
          <w:color w:val="auto"/>
          <w:sz w:val="21"/>
          <w:szCs w:val="21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88" w:right="1531" w:bottom="1588" w:left="1531" w:header="851" w:footer="1247" w:gutter="0"/>
          <w:cols w:space="720" w:num="1"/>
          <w:docGrid w:type="lines" w:linePitch="608" w:charSpace="-849"/>
        </w:sectPr>
      </w:pPr>
      <w:r>
        <w:rPr>
          <w:rFonts w:hint="eastAsia"/>
          <w:color w:val="auto"/>
          <w:sz w:val="21"/>
          <w:szCs w:val="21"/>
        </w:rPr>
        <w:t xml:space="preserve">           </w:t>
      </w:r>
    </w:p>
    <w:p>
      <w:pPr>
        <w:rPr>
          <w:color w:val="auto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928" w:right="1588" w:bottom="1531" w:left="1588" w:header="851" w:footer="1247" w:gutter="0"/>
      <w:cols w:space="720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FBDC924-9FE7-4BBE-8EE6-ECE9AF299C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7A81C0-8DC6-4FA7-AFF1-D913C1682D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41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X40pX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41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32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wWRkP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32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000000"/>
    <w:rsid w:val="04CB5FDF"/>
    <w:rsid w:val="04FC41DE"/>
    <w:rsid w:val="06D563C3"/>
    <w:rsid w:val="06E72E78"/>
    <w:rsid w:val="0FD6492F"/>
    <w:rsid w:val="15246B6F"/>
    <w:rsid w:val="15294F09"/>
    <w:rsid w:val="199F4761"/>
    <w:rsid w:val="1A27385F"/>
    <w:rsid w:val="1C0F4155"/>
    <w:rsid w:val="1C4F2A0E"/>
    <w:rsid w:val="21EF7897"/>
    <w:rsid w:val="25637FF1"/>
    <w:rsid w:val="2E501A94"/>
    <w:rsid w:val="34F00E85"/>
    <w:rsid w:val="362360E1"/>
    <w:rsid w:val="36EE5074"/>
    <w:rsid w:val="43054DAB"/>
    <w:rsid w:val="44916AC5"/>
    <w:rsid w:val="46476EB4"/>
    <w:rsid w:val="4699566E"/>
    <w:rsid w:val="47584EC3"/>
    <w:rsid w:val="4F057B14"/>
    <w:rsid w:val="50936D9A"/>
    <w:rsid w:val="51DC730A"/>
    <w:rsid w:val="56A70760"/>
    <w:rsid w:val="58AA231F"/>
    <w:rsid w:val="5B93012D"/>
    <w:rsid w:val="616B35FF"/>
    <w:rsid w:val="74C82752"/>
    <w:rsid w:val="77D0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 w:val="21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footnote reference"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1926</Words>
  <Characters>1993</Characters>
  <Paragraphs>314</Paragraphs>
  <TotalTime>44</TotalTime>
  <ScaleCrop>false</ScaleCrop>
  <LinksUpToDate>false</LinksUpToDate>
  <CharactersWithSpaces>2023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A1695</dc:creator>
  <cp:lastModifiedBy>小文同志</cp:lastModifiedBy>
  <cp:lastPrinted>2023-09-15T03:37:00Z</cp:lastPrinted>
  <dcterms:modified xsi:type="dcterms:W3CDTF">2023-09-20T10:14:12Z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522B17632BAD4168B144F06B7EA1BFB3_13</vt:lpwstr>
  </property>
</Properties>
</file>